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Times New Roman"/>
        </w:rPr>
      </w:pPr>
      <w:r>
        <w:rPr>
          <w:rFonts w:hint="eastAsia" w:cs="宋体"/>
        </w:rPr>
        <w:t>附件：</w:t>
      </w:r>
    </w:p>
    <w:p>
      <w:pPr>
        <w:pStyle w:val="2"/>
        <w:shd w:val="clear" w:color="auto" w:fill="FFFFFF"/>
        <w:spacing w:line="460" w:lineRule="exact"/>
        <w:jc w:val="center"/>
        <w:rPr>
          <w:rFonts w:ascii="黑体" w:hAnsi="黑体" w:eastAsia="黑体" w:cs="Times New Roman"/>
          <w:color w:val="000000"/>
          <w:kern w:val="2"/>
          <w:sz w:val="32"/>
          <w:szCs w:val="32"/>
        </w:rPr>
      </w:pPr>
      <w:r>
        <w:rPr>
          <w:rFonts w:hint="eastAsia" w:ascii="黑体" w:hAnsi="黑体" w:eastAsia="黑体" w:cs="黑体"/>
          <w:color w:val="000000"/>
          <w:kern w:val="2"/>
          <w:sz w:val="32"/>
          <w:szCs w:val="32"/>
        </w:rPr>
        <w:t>重庆市科学技术奖提名公示内容</w:t>
      </w:r>
    </w:p>
    <w:p>
      <w:pPr>
        <w:pStyle w:val="2"/>
        <w:shd w:val="clear" w:color="auto" w:fill="FFFFFF"/>
        <w:snapToGrid w:val="0"/>
        <w:spacing w:before="0" w:beforeAutospacing="0" w:after="0" w:afterAutospacing="0" w:line="460" w:lineRule="exact"/>
        <w:outlineLvl w:val="0"/>
        <w:rPr>
          <w:rFonts w:ascii="黑体" w:hAnsi="黑体" w:eastAsia="黑体" w:cs="Times New Roman"/>
          <w:color w:val="000000"/>
          <w:sz w:val="28"/>
          <w:szCs w:val="28"/>
        </w:rPr>
      </w:pPr>
      <w:r>
        <w:rPr>
          <w:rFonts w:hint="eastAsia" w:ascii="黑体" w:hAnsi="黑体" w:eastAsia="黑体" w:cs="黑体"/>
          <w:color w:val="000000"/>
          <w:sz w:val="28"/>
          <w:szCs w:val="28"/>
        </w:rPr>
        <w:t>一、项目名称</w:t>
      </w:r>
    </w:p>
    <w:p>
      <w:pPr>
        <w:pStyle w:val="2"/>
        <w:shd w:val="clear" w:color="auto" w:fill="FFFFFF"/>
        <w:snapToGrid w:val="0"/>
        <w:spacing w:before="0" w:beforeAutospacing="0" w:after="0" w:afterAutospacing="0" w:line="460" w:lineRule="exact"/>
        <w:ind w:firstLine="560" w:firstLineChars="200"/>
        <w:rPr>
          <w:rFonts w:ascii="Times New Roman" w:hAnsi="Times New Roman" w:cs="Times New Roman"/>
          <w:color w:val="000000"/>
          <w:sz w:val="28"/>
          <w:szCs w:val="28"/>
        </w:rPr>
      </w:pPr>
      <w:r>
        <w:rPr>
          <w:rFonts w:hint="eastAsia" w:ascii="Times New Roman" w:hAnsi="Times New Roman"/>
          <w:color w:val="000000"/>
          <w:sz w:val="28"/>
          <w:szCs w:val="28"/>
        </w:rPr>
        <w:t>天然气集输配系统综合安全关键技术及应用</w:t>
      </w:r>
    </w:p>
    <w:p>
      <w:pPr>
        <w:pStyle w:val="2"/>
        <w:shd w:val="clear" w:color="auto" w:fill="FFFFFF"/>
        <w:snapToGrid w:val="0"/>
        <w:spacing w:before="0" w:beforeAutospacing="0" w:after="0" w:afterAutospacing="0" w:line="460" w:lineRule="exact"/>
        <w:outlineLvl w:val="0"/>
        <w:rPr>
          <w:rFonts w:ascii="黑体" w:hAnsi="黑体" w:eastAsia="黑体" w:cs="Times New Roman"/>
          <w:color w:val="000000"/>
          <w:sz w:val="28"/>
          <w:szCs w:val="28"/>
        </w:rPr>
      </w:pPr>
      <w:r>
        <w:rPr>
          <w:rFonts w:hint="eastAsia" w:ascii="黑体" w:hAnsi="黑体" w:eastAsia="黑体" w:cs="黑体"/>
          <w:color w:val="000000"/>
          <w:sz w:val="28"/>
          <w:szCs w:val="28"/>
        </w:rPr>
        <w:t>二、提名者及提名等级</w:t>
      </w:r>
    </w:p>
    <w:p>
      <w:pPr>
        <w:pStyle w:val="2"/>
        <w:shd w:val="clear" w:color="auto" w:fill="FFFFFF"/>
        <w:snapToGrid w:val="0"/>
        <w:spacing w:before="0" w:beforeAutospacing="0" w:after="0" w:afterAutospacing="0" w:line="460" w:lineRule="exact"/>
        <w:ind w:firstLine="560" w:firstLineChars="200"/>
        <w:rPr>
          <w:rFonts w:ascii="Times New Roman" w:hAnsi="Times New Roman" w:cs="Times New Roman"/>
          <w:color w:val="000000"/>
          <w:sz w:val="28"/>
          <w:szCs w:val="28"/>
        </w:rPr>
      </w:pPr>
      <w:r>
        <w:rPr>
          <w:rFonts w:hint="eastAsia" w:ascii="Times New Roman" w:hAnsi="Times New Roman"/>
          <w:color w:val="000000"/>
          <w:sz w:val="28"/>
          <w:szCs w:val="28"/>
        </w:rPr>
        <w:t>提名者：重庆市教育委员会</w:t>
      </w:r>
    </w:p>
    <w:p>
      <w:pPr>
        <w:pStyle w:val="2"/>
        <w:shd w:val="clear" w:color="auto" w:fill="FFFFFF"/>
        <w:snapToGrid w:val="0"/>
        <w:spacing w:before="0" w:beforeAutospacing="0" w:after="0" w:afterAutospacing="0" w:line="460" w:lineRule="exact"/>
        <w:ind w:firstLine="560" w:firstLineChars="200"/>
        <w:rPr>
          <w:rFonts w:ascii="Times New Roman" w:hAnsi="Times New Roman" w:cs="Times New Roman"/>
          <w:color w:val="000000"/>
          <w:sz w:val="28"/>
          <w:szCs w:val="28"/>
        </w:rPr>
      </w:pPr>
      <w:r>
        <w:rPr>
          <w:rFonts w:hint="eastAsia" w:ascii="Times New Roman" w:hAnsi="Times New Roman"/>
          <w:color w:val="000000"/>
          <w:sz w:val="28"/>
          <w:szCs w:val="28"/>
        </w:rPr>
        <w:t>提名等级：科技进步奖二等奖</w:t>
      </w:r>
    </w:p>
    <w:p>
      <w:pPr>
        <w:pStyle w:val="2"/>
        <w:shd w:val="clear" w:color="auto" w:fill="FFFFFF"/>
        <w:snapToGrid w:val="0"/>
        <w:spacing w:before="0" w:beforeAutospacing="0" w:after="0" w:afterAutospacing="0" w:line="460" w:lineRule="exact"/>
        <w:outlineLvl w:val="0"/>
        <w:rPr>
          <w:rFonts w:ascii="黑体" w:hAnsi="黑体" w:eastAsia="黑体" w:cs="Times New Roman"/>
          <w:color w:val="000000"/>
          <w:sz w:val="28"/>
          <w:szCs w:val="28"/>
        </w:rPr>
      </w:pPr>
      <w:r>
        <w:rPr>
          <w:rFonts w:hint="eastAsia" w:ascii="黑体" w:hAnsi="黑体" w:eastAsia="黑体" w:cs="黑体"/>
          <w:color w:val="000000"/>
          <w:sz w:val="28"/>
          <w:szCs w:val="28"/>
        </w:rPr>
        <w:t>三、项目简介</w:t>
      </w:r>
    </w:p>
    <w:p>
      <w:pPr>
        <w:pStyle w:val="2"/>
        <w:shd w:val="clear" w:color="auto" w:fill="FFFFFF"/>
        <w:snapToGrid w:val="0"/>
        <w:spacing w:before="0" w:beforeAutospacing="0" w:after="0" w:afterAutospacing="0" w:line="460" w:lineRule="exact"/>
        <w:ind w:firstLine="560" w:firstLineChars="200"/>
        <w:jc w:val="both"/>
        <w:rPr>
          <w:rFonts w:ascii="Times New Roman" w:hAnsi="Times New Roman" w:cs="Times New Roman"/>
          <w:color w:val="000000"/>
          <w:sz w:val="28"/>
          <w:szCs w:val="28"/>
        </w:rPr>
      </w:pPr>
      <w:r>
        <w:rPr>
          <w:rFonts w:hint="eastAsia" w:ascii="Times New Roman" w:hAnsi="Times New Roman"/>
          <w:color w:val="000000"/>
          <w:sz w:val="28"/>
          <w:szCs w:val="28"/>
        </w:rPr>
        <w:t>成果属于油气储运安全工程技术领域，适用于天然气集输配系统，服务于天然气地面工程与城市燃气</w:t>
      </w:r>
      <w:bookmarkStart w:id="0" w:name="_GoBack"/>
      <w:bookmarkEnd w:id="0"/>
      <w:r>
        <w:rPr>
          <w:rFonts w:hint="eastAsia" w:ascii="Times New Roman" w:hAnsi="Times New Roman"/>
          <w:color w:val="000000"/>
          <w:sz w:val="28"/>
          <w:szCs w:val="28"/>
        </w:rPr>
        <w:t>行业。成果以适应解决新时代天然气集输配过程安全工作重心由突发事件的应急处置向前端风险防控和风险治理转移的重大需求，创新性构建了声压交互识别天然气管道泄漏检测、地面现场多信息融合安全监测可视化、集输与净化全过程生产装置能效评价、站场设备风险定量评估及最优完整性维护决策等关键技术、标准研究、系统开发于一体的天然气集输配系统综合安全保障技术体系。成果在中石油、中石化下属油气田生产企业和地方燃气公司得以应用，强化了天然气集输配系统过程控制，降低了关键设备运行风险，提升了安全生产科学管理水平，创造了显著的社会和经济效益。</w:t>
      </w:r>
    </w:p>
    <w:p>
      <w:pPr>
        <w:pStyle w:val="2"/>
        <w:shd w:val="clear" w:color="auto" w:fill="FFFFFF"/>
        <w:snapToGrid w:val="0"/>
        <w:spacing w:before="0" w:beforeAutospacing="0" w:after="0" w:afterAutospacing="0" w:line="460" w:lineRule="exact"/>
        <w:outlineLvl w:val="0"/>
        <w:rPr>
          <w:rFonts w:ascii="黑体" w:hAnsi="黑体" w:eastAsia="黑体" w:cs="Times New Roman"/>
          <w:color w:val="000000"/>
          <w:sz w:val="28"/>
          <w:szCs w:val="28"/>
        </w:rPr>
      </w:pPr>
      <w:r>
        <w:rPr>
          <w:rFonts w:hint="eastAsia" w:ascii="黑体" w:hAnsi="黑体" w:eastAsia="黑体" w:cs="黑体"/>
          <w:color w:val="000000"/>
          <w:sz w:val="28"/>
          <w:szCs w:val="28"/>
        </w:rPr>
        <w:t>四、主要完成人及完成单位</w:t>
      </w:r>
    </w:p>
    <w:p>
      <w:pPr>
        <w:pStyle w:val="2"/>
        <w:shd w:val="clear" w:color="auto" w:fill="FFFFFF"/>
        <w:snapToGrid w:val="0"/>
        <w:spacing w:before="0" w:beforeAutospacing="0" w:after="0" w:afterAutospacing="0" w:line="460" w:lineRule="exact"/>
        <w:ind w:firstLine="560" w:firstLineChars="200"/>
        <w:outlineLvl w:val="0"/>
        <w:rPr>
          <w:rFonts w:ascii="Times New Roman" w:hAnsi="Times New Roman" w:cs="Times New Roman"/>
          <w:color w:val="000000"/>
          <w:sz w:val="28"/>
          <w:szCs w:val="28"/>
        </w:rPr>
      </w:pPr>
      <w:r>
        <w:rPr>
          <w:rFonts w:hint="eastAsia" w:ascii="Times New Roman" w:hAnsi="Times New Roman"/>
          <w:color w:val="000000"/>
          <w:sz w:val="28"/>
          <w:szCs w:val="28"/>
        </w:rPr>
        <w:t>（一）主要完成人</w:t>
      </w:r>
    </w:p>
    <w:p>
      <w:pPr>
        <w:pStyle w:val="2"/>
        <w:shd w:val="clear" w:color="auto" w:fill="FFFFFF"/>
        <w:snapToGrid w:val="0"/>
        <w:spacing w:before="0" w:beforeAutospacing="0" w:after="0" w:afterAutospacing="0" w:line="460" w:lineRule="exact"/>
        <w:ind w:firstLine="560" w:firstLineChars="200"/>
        <w:rPr>
          <w:rFonts w:ascii="Times New Roman" w:hAnsi="Times New Roman" w:cs="Times New Roman"/>
          <w:color w:val="000000"/>
          <w:sz w:val="28"/>
          <w:szCs w:val="28"/>
        </w:rPr>
      </w:pPr>
      <w:r>
        <w:rPr>
          <w:rFonts w:hint="eastAsia" w:ascii="Times New Roman" w:hAnsi="Times New Roman"/>
          <w:color w:val="000000"/>
          <w:sz w:val="28"/>
          <w:szCs w:val="28"/>
        </w:rPr>
        <w:t>梁平、游赟、汤林、王大庆、郑洪龙、岑康、李明菲、王飞、张碧波、熊效李</w:t>
      </w:r>
    </w:p>
    <w:p>
      <w:pPr>
        <w:pStyle w:val="2"/>
        <w:shd w:val="clear" w:color="auto" w:fill="FFFFFF"/>
        <w:snapToGrid w:val="0"/>
        <w:spacing w:before="0" w:beforeAutospacing="0" w:after="0" w:afterAutospacing="0" w:line="460" w:lineRule="exact"/>
        <w:ind w:firstLine="560" w:firstLineChars="200"/>
        <w:outlineLvl w:val="0"/>
        <w:rPr>
          <w:rFonts w:ascii="Times New Roman" w:hAnsi="Times New Roman" w:cs="Times New Roman"/>
          <w:color w:val="000000"/>
          <w:sz w:val="28"/>
          <w:szCs w:val="28"/>
        </w:rPr>
      </w:pPr>
      <w:r>
        <w:rPr>
          <w:rFonts w:hint="eastAsia" w:ascii="Times New Roman" w:hAnsi="Times New Roman"/>
          <w:color w:val="000000"/>
          <w:sz w:val="28"/>
          <w:szCs w:val="28"/>
        </w:rPr>
        <w:t>（二）主要完成单位</w:t>
      </w:r>
    </w:p>
    <w:p>
      <w:pPr>
        <w:pStyle w:val="2"/>
        <w:shd w:val="clear" w:color="auto" w:fill="FFFFFF"/>
        <w:snapToGrid w:val="0"/>
        <w:spacing w:before="0" w:beforeAutospacing="0" w:after="0" w:afterAutospacing="0" w:line="460" w:lineRule="exact"/>
        <w:ind w:firstLine="560" w:firstLineChars="200"/>
        <w:outlineLvl w:val="0"/>
        <w:rPr>
          <w:rFonts w:cs="Times New Roman"/>
          <w:color w:val="000000"/>
        </w:rPr>
      </w:pPr>
      <w:r>
        <w:rPr>
          <w:rFonts w:hint="eastAsia" w:ascii="Times New Roman" w:hAnsi="Times New Roman"/>
          <w:color w:val="000000"/>
          <w:sz w:val="28"/>
          <w:szCs w:val="28"/>
        </w:rPr>
        <w:t>重庆科技学院、中国石油天然气股份有限公司西南油气田分公司、中国石油天然气股份有限公司冀东油田分公司、西南石油大学、重庆民生燃气有限公司、重庆慧投科技有限公司、重庆华川油建装备制造（集团）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93840"/>
    <w:rsid w:val="76F93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2021-09-14T03:00:00Z</dcterms:created>
  <dc:creator>Z</dc:creator>
  <cp:lastModifiedBy>Z</cp:lastModifiedBy>
  <dcterms:modified xsi:type="dcterms:W3CDTF">2021-09-14T03:00:24Z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EC3AC0E02EF34DC8A085733B66B721EA</vt:lpwstr>
  </property>
</Properties>
</file>